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B7472A"/>
          <w:sz w:val="52"/>
          <w:szCs w:val="52"/>
        </w:rPr>
        <w:t xml:space="preserve">Tyler Bennett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010-0014  ·  tylerbennett@example.com  ·  Austin, TX  ·  Target: Account Executive (B2B)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B2B account executive with 4 years selling software to mid-market companies. 117% average quota attainment over the last 8 quarters; built a self-sourced pipeline covering 35% of closed revenue with a 28% win rate.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Software Company (Austin, TX) — Account Executive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Feb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Carry a $900K annual quota selling to operations and finance leaders; 117% average attainment, top 3 of 14 reps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Self-source 35% of pipeline through outbound sequences and referrals; 28% win rate on qualified opportunities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Grew average contract value from $28K to $41K by leading with multi-year and add-on packaging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Keep CRM hygiene at 100% forecast-stage accuracy; forecast within ±5% for 6 straight quarters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Business Services Co. (Austin, TX) — Sales Development Representative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2021 – Jan 2023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Booked 25+ qualified meetings per month (team average 16); promoted to AE in 19 months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State University — B.A. in Communications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2017 – May 2021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CRM pipeline management, discovery and demo delivery, negotiation to close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Outbound sequencing tools; territory and account planning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2026-08-04T09:17:59.874Z</dcterms:created>
  <dcterms:modified xsi:type="dcterms:W3CDTF">2026-08-04T09:17:59.874Z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